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rPr>
      </w:pPr>
      <w:r>
        <w:rPr>
          <w:rFonts w:hint="eastAsia"/>
        </w:rPr>
        <w:t>第</w:t>
      </w:r>
      <w:r>
        <w:rPr>
          <w:rFonts w:hint="eastAsia"/>
          <w:lang w:val="en-US" w:eastAsia="zh-CN"/>
        </w:rPr>
        <w:t>四</w:t>
      </w:r>
      <w:r>
        <w:rPr>
          <w:rFonts w:hint="eastAsia"/>
        </w:rPr>
        <w:t>届</w:t>
      </w:r>
      <w:r>
        <w:rPr>
          <w:rFonts w:hint="eastAsia"/>
          <w:lang w:val="en-US" w:eastAsia="zh-CN"/>
        </w:rPr>
        <w:t>山东大学</w:t>
      </w:r>
      <w:r>
        <w:rPr>
          <w:rFonts w:hint="eastAsia"/>
        </w:rPr>
        <w:t>“互联网+”大学生创新创业大赛</w:t>
      </w:r>
    </w:p>
    <w:p>
      <w:pPr>
        <w:pStyle w:val="3"/>
        <w:jc w:val="center"/>
        <w:rPr>
          <w:rFonts w:hint="eastAsia"/>
        </w:rPr>
      </w:pPr>
      <w:r>
        <w:rPr>
          <w:rFonts w:hint="eastAsia"/>
        </w:rPr>
        <w:t>决赛评审规则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leftChars="0" w:right="0" w:rightChars="0" w:firstLine="560" w:firstLineChars="200"/>
        <w:jc w:val="left"/>
        <w:textAlignment w:val="auto"/>
        <w:outlineLvl w:val="9"/>
        <w:rPr>
          <w:rStyle w:val="6"/>
          <w:rFonts w:hint="eastAsia" w:ascii="仿宋" w:hAnsi="仿宋" w:eastAsia="仿宋" w:cs="仿宋"/>
          <w:b w:val="0"/>
          <w:bCs/>
          <w:i w:val="0"/>
          <w:caps w:val="0"/>
          <w:color w:val="auto"/>
          <w:spacing w:val="0"/>
          <w:sz w:val="28"/>
          <w:szCs w:val="28"/>
          <w:shd w:val="clear" w:fill="FFFFFF"/>
          <w:lang w:val="en-US" w:eastAsia="zh-CN"/>
        </w:rPr>
      </w:pPr>
      <w:r>
        <w:rPr>
          <w:rStyle w:val="6"/>
          <w:rFonts w:hint="eastAsia" w:ascii="仿宋" w:hAnsi="仿宋" w:eastAsia="仿宋" w:cs="仿宋"/>
          <w:b w:val="0"/>
          <w:bCs/>
          <w:i w:val="0"/>
          <w:caps w:val="0"/>
          <w:color w:val="auto"/>
          <w:spacing w:val="0"/>
          <w:sz w:val="28"/>
          <w:szCs w:val="28"/>
          <w:shd w:val="clear" w:fill="FFFFFF"/>
          <w:lang w:val="en-US" w:eastAsia="zh-CN"/>
        </w:rPr>
        <w:t>本评审规则依据《中国“互联网+”大学生创新创业大赛全国总决赛评审规则》制定。评审委员会参照本评审规则队参赛作品进行项目目评审。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Pr>
          <w:rFonts w:hint="eastAsia" w:ascii="微软雅黑" w:hAnsi="微软雅黑" w:eastAsia="微软雅黑" w:cs="微软雅黑"/>
          <w:b w:val="0"/>
          <w:i w:val="0"/>
          <w:caps w:val="0"/>
          <w:color w:val="auto"/>
          <w:spacing w:val="0"/>
          <w:sz w:val="24"/>
          <w:szCs w:val="24"/>
        </w:rPr>
      </w:pPr>
      <w:r>
        <w:rPr>
          <w:rStyle w:val="6"/>
          <w:rFonts w:hint="eastAsia" w:ascii="微软雅黑" w:hAnsi="微软雅黑" w:eastAsia="微软雅黑" w:cs="微软雅黑"/>
          <w:b/>
          <w:i w:val="0"/>
          <w:caps w:val="0"/>
          <w:color w:val="auto"/>
          <w:spacing w:val="0"/>
          <w:sz w:val="24"/>
          <w:szCs w:val="24"/>
          <w:shd w:val="clear" w:fill="FFFFFF"/>
        </w:rPr>
        <w:t>一、创意组项目评审要点</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568"/>
        <w:gridCol w:w="6143"/>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c>
          <w:tcPr>
            <w:tcW w:w="1568"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Style w:val="6"/>
                <w:rFonts w:hint="eastAsia" w:ascii="仿宋" w:hAnsi="仿宋" w:eastAsia="仿宋" w:cs="仿宋"/>
                <w:b/>
                <w:i w:val="0"/>
                <w:caps w:val="0"/>
                <w:color w:val="auto"/>
                <w:spacing w:val="0"/>
                <w:sz w:val="28"/>
                <w:szCs w:val="28"/>
              </w:rPr>
              <w:t>评审要点</w:t>
            </w:r>
          </w:p>
        </w:tc>
        <w:tc>
          <w:tcPr>
            <w:tcW w:w="6143"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Style w:val="6"/>
                <w:rFonts w:hint="eastAsia" w:ascii="仿宋" w:hAnsi="仿宋" w:eastAsia="仿宋" w:cs="仿宋"/>
                <w:b/>
                <w:i w:val="0"/>
                <w:caps w:val="0"/>
                <w:color w:val="auto"/>
                <w:spacing w:val="0"/>
                <w:sz w:val="28"/>
                <w:szCs w:val="28"/>
              </w:rPr>
              <w:t>评审内容</w:t>
            </w:r>
          </w:p>
        </w:tc>
        <w:tc>
          <w:tcPr>
            <w:tcW w:w="805"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Style w:val="6"/>
                <w:rFonts w:hint="eastAsia" w:ascii="仿宋" w:hAnsi="仿宋" w:eastAsia="仿宋" w:cs="仿宋"/>
                <w:b/>
                <w:i w:val="0"/>
                <w:caps w:val="0"/>
                <w:color w:val="auto"/>
                <w:spacing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8"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创新性</w:t>
            </w:r>
          </w:p>
        </w:tc>
        <w:tc>
          <w:tcPr>
            <w:tcW w:w="6143"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突出原始创意的价值，不鼓励模仿。强调利用互联网技术、方法和思维在销售、研发、生产、物流、信息、人力、管理等方面寻求突破和创新。鼓励项目与高校科技成果转移转化相结合。</w:t>
            </w:r>
          </w:p>
        </w:tc>
        <w:tc>
          <w:tcPr>
            <w:tcW w:w="805"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8"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团队情况</w:t>
            </w:r>
          </w:p>
        </w:tc>
        <w:tc>
          <w:tcPr>
            <w:tcW w:w="6143"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05"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8"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商业性</w:t>
            </w:r>
          </w:p>
        </w:tc>
        <w:tc>
          <w:tcPr>
            <w:tcW w:w="6143"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05"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68"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带动就业前景</w:t>
            </w:r>
          </w:p>
        </w:tc>
        <w:tc>
          <w:tcPr>
            <w:tcW w:w="6143"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综合考察项目发展战略和规模扩张策略的合理性和可行性，预判项目可能带动社会就业的能力。</w:t>
            </w:r>
          </w:p>
        </w:tc>
        <w:tc>
          <w:tcPr>
            <w:tcW w:w="805"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5</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Pr>
          <w:rStyle w:val="6"/>
          <w:rFonts w:hint="eastAsia" w:ascii="微软雅黑" w:hAnsi="微软雅黑" w:eastAsia="微软雅黑" w:cs="微软雅黑"/>
          <w:b/>
          <w:i w:val="0"/>
          <w:caps w:val="0"/>
          <w:color w:val="auto"/>
          <w:spacing w:val="0"/>
          <w:sz w:val="24"/>
          <w:szCs w:val="24"/>
          <w:shd w:val="clear" w:fill="FFFFFF"/>
        </w:rPr>
      </w:pPr>
      <w:r>
        <w:rPr>
          <w:rFonts w:hint="eastAsia" w:ascii="仿宋" w:hAnsi="仿宋" w:eastAsia="仿宋" w:cs="仿宋"/>
          <w:b w:val="0"/>
          <w:i w:val="0"/>
          <w:caps w:val="0"/>
          <w:color w:val="808080"/>
          <w:spacing w:val="0"/>
          <w:sz w:val="28"/>
          <w:szCs w:val="2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Pr>
          <w:rFonts w:hint="eastAsia" w:ascii="微软雅黑" w:hAnsi="微软雅黑" w:eastAsia="微软雅黑" w:cs="微软雅黑"/>
          <w:b w:val="0"/>
          <w:i w:val="0"/>
          <w:caps w:val="0"/>
          <w:color w:val="auto"/>
          <w:spacing w:val="0"/>
          <w:sz w:val="24"/>
          <w:szCs w:val="24"/>
        </w:rPr>
      </w:pPr>
      <w:r>
        <w:rPr>
          <w:rStyle w:val="6"/>
          <w:rFonts w:hint="eastAsia" w:ascii="微软雅黑" w:hAnsi="微软雅黑" w:eastAsia="微软雅黑" w:cs="微软雅黑"/>
          <w:b/>
          <w:i w:val="0"/>
          <w:caps w:val="0"/>
          <w:color w:val="auto"/>
          <w:spacing w:val="0"/>
          <w:sz w:val="24"/>
          <w:szCs w:val="24"/>
          <w:shd w:val="clear" w:fill="FFFFFF"/>
        </w:rPr>
        <w:t>二、初创组、成长组项目评审要点</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578"/>
        <w:gridCol w:w="6044"/>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578"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345" w:lineRule="atLeast"/>
              <w:ind w:left="0" w:right="0"/>
              <w:jc w:val="center"/>
              <w:rPr>
                <w:rFonts w:hint="eastAsia" w:ascii="仿宋" w:hAnsi="仿宋" w:eastAsia="仿宋" w:cs="仿宋"/>
                <w:color w:val="auto"/>
                <w:sz w:val="28"/>
                <w:szCs w:val="28"/>
              </w:rPr>
            </w:pPr>
            <w:r>
              <w:rPr>
                <w:rStyle w:val="6"/>
                <w:rFonts w:hint="eastAsia" w:ascii="仿宋" w:hAnsi="仿宋" w:eastAsia="仿宋" w:cs="仿宋"/>
                <w:b/>
                <w:i w:val="0"/>
                <w:caps w:val="0"/>
                <w:color w:val="auto"/>
                <w:spacing w:val="0"/>
                <w:sz w:val="28"/>
                <w:szCs w:val="28"/>
              </w:rPr>
              <w:t>评审要点</w:t>
            </w:r>
          </w:p>
        </w:tc>
        <w:tc>
          <w:tcPr>
            <w:tcW w:w="6044"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345" w:lineRule="atLeast"/>
              <w:ind w:left="0" w:right="0"/>
              <w:jc w:val="center"/>
              <w:rPr>
                <w:rFonts w:hint="eastAsia" w:ascii="仿宋" w:hAnsi="仿宋" w:eastAsia="仿宋" w:cs="仿宋"/>
                <w:color w:val="auto"/>
                <w:sz w:val="28"/>
                <w:szCs w:val="28"/>
              </w:rPr>
            </w:pPr>
            <w:r>
              <w:rPr>
                <w:rStyle w:val="6"/>
                <w:rFonts w:hint="eastAsia" w:ascii="仿宋" w:hAnsi="仿宋" w:eastAsia="仿宋" w:cs="仿宋"/>
                <w:b/>
                <w:i w:val="0"/>
                <w:caps w:val="0"/>
                <w:color w:val="auto"/>
                <w:spacing w:val="0"/>
                <w:sz w:val="28"/>
                <w:szCs w:val="28"/>
              </w:rPr>
              <w:t>评审内容</w:t>
            </w:r>
          </w:p>
        </w:tc>
        <w:tc>
          <w:tcPr>
            <w:tcW w:w="894"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345" w:lineRule="atLeast"/>
              <w:ind w:left="0" w:right="0"/>
              <w:jc w:val="center"/>
              <w:rPr>
                <w:rFonts w:hint="eastAsia" w:ascii="仿宋" w:hAnsi="仿宋" w:eastAsia="仿宋" w:cs="仿宋"/>
                <w:color w:val="auto"/>
                <w:sz w:val="28"/>
                <w:szCs w:val="28"/>
              </w:rPr>
            </w:pPr>
            <w:r>
              <w:rPr>
                <w:rStyle w:val="6"/>
                <w:rFonts w:hint="eastAsia" w:ascii="仿宋" w:hAnsi="仿宋" w:eastAsia="仿宋" w:cs="仿宋"/>
                <w:b/>
                <w:i w:val="0"/>
                <w:caps w:val="0"/>
                <w:color w:val="auto"/>
                <w:spacing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578"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345"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商业性</w:t>
            </w:r>
          </w:p>
        </w:tc>
        <w:tc>
          <w:tcPr>
            <w:tcW w:w="6044"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345"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5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894"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345"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578"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345"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团队情况</w:t>
            </w:r>
          </w:p>
        </w:tc>
        <w:tc>
          <w:tcPr>
            <w:tcW w:w="6044"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345"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894"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345"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578"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345"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创新性</w:t>
            </w:r>
          </w:p>
        </w:tc>
        <w:tc>
          <w:tcPr>
            <w:tcW w:w="6044"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345"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突出原始创意的价值，不鼓励模仿。强调利用互联网技术、方法、思维在销售、研发、生产、物流、信息、人力、管理等方面寻求突破和创新。鼓励项目与高校科技成果转移转化相结合。</w:t>
            </w:r>
          </w:p>
        </w:tc>
        <w:tc>
          <w:tcPr>
            <w:tcW w:w="894"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345"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578"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345"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带动就业情况</w:t>
            </w:r>
          </w:p>
        </w:tc>
        <w:tc>
          <w:tcPr>
            <w:tcW w:w="6044"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345"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考察项目增加社会就业份额，发展战略和扩张的策略合理性，上下产业链的密切程度和带动效率、其他社会效益。</w:t>
            </w:r>
          </w:p>
        </w:tc>
        <w:tc>
          <w:tcPr>
            <w:tcW w:w="894"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345"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10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Pr>
          <w:rStyle w:val="6"/>
          <w:rFonts w:hint="eastAsia" w:ascii="微软雅黑" w:hAnsi="微软雅黑" w:eastAsia="微软雅黑" w:cs="微软雅黑"/>
          <w:b/>
          <w:i w:val="0"/>
          <w:caps w:val="0"/>
          <w:color w:val="auto"/>
          <w:spacing w:val="0"/>
          <w:sz w:val="24"/>
          <w:szCs w:val="24"/>
          <w:shd w:val="clear" w:fill="FFFFFF"/>
        </w:rPr>
      </w:pPr>
    </w:p>
    <w:p>
      <w:pPr>
        <w:rPr>
          <w:rStyle w:val="6"/>
          <w:rFonts w:hint="eastAsia" w:ascii="微软雅黑" w:hAnsi="微软雅黑" w:eastAsia="微软雅黑" w:cs="微软雅黑"/>
          <w:b/>
          <w:i w:val="0"/>
          <w:caps w:val="0"/>
          <w:color w:val="auto"/>
          <w:spacing w:val="0"/>
          <w:sz w:val="24"/>
          <w:szCs w:val="24"/>
          <w:shd w:val="clear" w:fill="FFFFFF"/>
        </w:rPr>
      </w:pPr>
    </w:p>
    <w:p>
      <w:pPr>
        <w:rPr>
          <w:rStyle w:val="6"/>
          <w:rFonts w:hint="eastAsia" w:ascii="微软雅黑" w:hAnsi="微软雅黑" w:eastAsia="微软雅黑" w:cs="微软雅黑"/>
          <w:b/>
          <w:i w:val="0"/>
          <w:caps w:val="0"/>
          <w:color w:val="auto"/>
          <w:spacing w:val="0"/>
          <w:sz w:val="24"/>
          <w:szCs w:val="24"/>
          <w:shd w:val="clear" w:fill="FFFFFF"/>
        </w:rPr>
      </w:pPr>
    </w:p>
    <w:p>
      <w:pPr>
        <w:rPr>
          <w:rStyle w:val="6"/>
          <w:rFonts w:hint="eastAsia" w:ascii="微软雅黑" w:hAnsi="微软雅黑" w:eastAsia="微软雅黑" w:cs="微软雅黑"/>
          <w:b/>
          <w:i w:val="0"/>
          <w:caps w:val="0"/>
          <w:color w:val="auto"/>
          <w:spacing w:val="0"/>
          <w:sz w:val="24"/>
          <w:szCs w:val="24"/>
          <w:shd w:val="clear" w:fill="FFFFFF"/>
        </w:rPr>
      </w:pPr>
    </w:p>
    <w:p>
      <w:pPr>
        <w:rPr>
          <w:rStyle w:val="6"/>
          <w:rFonts w:hint="eastAsia" w:ascii="微软雅黑" w:hAnsi="微软雅黑" w:eastAsia="微软雅黑" w:cs="微软雅黑"/>
          <w:b/>
          <w:i w:val="0"/>
          <w:caps w:val="0"/>
          <w:color w:val="auto"/>
          <w:spacing w:val="0"/>
          <w:sz w:val="24"/>
          <w:szCs w:val="24"/>
          <w:shd w:val="clear" w:fill="FFFFFF"/>
        </w:rPr>
      </w:pPr>
    </w:p>
    <w:p>
      <w:pPr>
        <w:rPr>
          <w:rStyle w:val="6"/>
          <w:rFonts w:hint="eastAsia" w:ascii="微软雅黑" w:hAnsi="微软雅黑" w:eastAsia="微软雅黑" w:cs="微软雅黑"/>
          <w:b/>
          <w:i w:val="0"/>
          <w:caps w:val="0"/>
          <w:color w:val="auto"/>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Pr>
          <w:rFonts w:hint="default" w:ascii="Helvetica Neue" w:hAnsi="Helvetica Neue" w:eastAsia="Helvetica Neue" w:cs="Helvetica Neue"/>
          <w:i w:val="0"/>
          <w:caps w:val="0"/>
          <w:color w:val="auto"/>
          <w:spacing w:val="0"/>
          <w:sz w:val="24"/>
          <w:szCs w:val="24"/>
        </w:rPr>
      </w:pPr>
      <w:r>
        <w:rPr>
          <w:rStyle w:val="6"/>
          <w:rFonts w:hint="eastAsia" w:ascii="微软雅黑" w:hAnsi="微软雅黑" w:eastAsia="微软雅黑" w:cs="微软雅黑"/>
          <w:b/>
          <w:i w:val="0"/>
          <w:caps w:val="0"/>
          <w:color w:val="auto"/>
          <w:spacing w:val="0"/>
          <w:sz w:val="24"/>
          <w:szCs w:val="24"/>
          <w:shd w:val="clear" w:fill="FFFFFF"/>
        </w:rPr>
        <w:t>三、就业型创业项目评审要点</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633"/>
        <w:gridCol w:w="1103"/>
        <w:gridCol w:w="4209"/>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633"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Style w:val="6"/>
                <w:rFonts w:hint="eastAsia" w:ascii="仿宋" w:hAnsi="仿宋" w:eastAsia="仿宋" w:cs="仿宋"/>
                <w:b/>
                <w:i w:val="0"/>
                <w:caps w:val="0"/>
                <w:color w:val="auto"/>
                <w:spacing w:val="0"/>
                <w:sz w:val="28"/>
                <w:szCs w:val="28"/>
              </w:rPr>
              <w:t>评审要点</w:t>
            </w:r>
          </w:p>
        </w:tc>
        <w:tc>
          <w:tcPr>
            <w:tcW w:w="1103"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Style w:val="6"/>
                <w:rFonts w:hint="eastAsia" w:ascii="仿宋" w:hAnsi="仿宋" w:eastAsia="仿宋" w:cs="仿宋"/>
                <w:b/>
                <w:i w:val="0"/>
                <w:caps w:val="0"/>
                <w:color w:val="auto"/>
                <w:spacing w:val="0"/>
                <w:sz w:val="28"/>
                <w:szCs w:val="28"/>
              </w:rPr>
              <w:t>得分形式</w:t>
            </w:r>
          </w:p>
        </w:tc>
        <w:tc>
          <w:tcPr>
            <w:tcW w:w="4209"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Style w:val="6"/>
                <w:rFonts w:hint="eastAsia" w:ascii="仿宋" w:hAnsi="仿宋" w:eastAsia="仿宋" w:cs="仿宋"/>
                <w:b/>
                <w:i w:val="0"/>
                <w:caps w:val="0"/>
                <w:color w:val="auto"/>
                <w:spacing w:val="0"/>
                <w:sz w:val="28"/>
                <w:szCs w:val="28"/>
              </w:rPr>
              <w:t>评审内容</w:t>
            </w:r>
          </w:p>
        </w:tc>
        <w:tc>
          <w:tcPr>
            <w:tcW w:w="1571" w:type="dxa"/>
            <w:shd w:val="clear" w:color="auto" w:fill="FFFFFF"/>
            <w:tcMar>
              <w:left w:w="105" w:type="dxa"/>
              <w:right w:w="105" w:type="dxa"/>
            </w:tcMar>
            <w:vAlign w:val="top"/>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Style w:val="6"/>
                <w:rFonts w:hint="eastAsia" w:ascii="仿宋" w:hAnsi="仿宋" w:eastAsia="仿宋" w:cs="仿宋"/>
                <w:b/>
                <w:i w:val="0"/>
                <w:caps w:val="0"/>
                <w:color w:val="auto"/>
                <w:spacing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633" w:type="dxa"/>
            <w:vMerge w:val="restart"/>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项目团队</w:t>
            </w:r>
          </w:p>
        </w:tc>
        <w:tc>
          <w:tcPr>
            <w:tcW w:w="1103" w:type="dxa"/>
            <w:vMerge w:val="restart"/>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加总得分</w:t>
            </w:r>
          </w:p>
        </w:tc>
        <w:tc>
          <w:tcPr>
            <w:tcW w:w="4209"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团队成员互补与协调性</w:t>
            </w:r>
          </w:p>
        </w:tc>
        <w:tc>
          <w:tcPr>
            <w:tcW w:w="1571" w:type="dxa"/>
            <w:vMerge w:val="restart"/>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63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110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4209"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组织结构设置合理性</w:t>
            </w:r>
          </w:p>
        </w:tc>
        <w:tc>
          <w:tcPr>
            <w:tcW w:w="1571"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63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110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4209"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股权结构设置合理性</w:t>
            </w:r>
          </w:p>
        </w:tc>
        <w:tc>
          <w:tcPr>
            <w:tcW w:w="1571"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633" w:type="dxa"/>
            <w:vMerge w:val="restart"/>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商业性</w:t>
            </w:r>
          </w:p>
        </w:tc>
        <w:tc>
          <w:tcPr>
            <w:tcW w:w="1103" w:type="dxa"/>
            <w:vMerge w:val="restart"/>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加总得分</w:t>
            </w:r>
          </w:p>
        </w:tc>
        <w:tc>
          <w:tcPr>
            <w:tcW w:w="4209"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生存性和盈利能力</w:t>
            </w:r>
          </w:p>
        </w:tc>
        <w:tc>
          <w:tcPr>
            <w:tcW w:w="1571" w:type="dxa"/>
            <w:vMerge w:val="restart"/>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63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110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4209"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可行性和完整性</w:t>
            </w:r>
          </w:p>
        </w:tc>
        <w:tc>
          <w:tcPr>
            <w:tcW w:w="1571"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63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110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4209"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可复制性</w:t>
            </w:r>
          </w:p>
        </w:tc>
        <w:tc>
          <w:tcPr>
            <w:tcW w:w="1571"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633" w:type="dxa"/>
            <w:vMerge w:val="restart"/>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创新性</w:t>
            </w:r>
          </w:p>
        </w:tc>
        <w:tc>
          <w:tcPr>
            <w:tcW w:w="1103" w:type="dxa"/>
            <w:vMerge w:val="restart"/>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单项得分（满足任一单项得满分）</w:t>
            </w:r>
          </w:p>
        </w:tc>
        <w:tc>
          <w:tcPr>
            <w:tcW w:w="4209"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岗位创新</w:t>
            </w:r>
          </w:p>
        </w:tc>
        <w:tc>
          <w:tcPr>
            <w:tcW w:w="1571" w:type="dxa"/>
            <w:vMerge w:val="restart"/>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63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110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4209"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技能创新</w:t>
            </w:r>
          </w:p>
        </w:tc>
        <w:tc>
          <w:tcPr>
            <w:tcW w:w="1571"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63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110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4209"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技术创新</w:t>
            </w:r>
          </w:p>
        </w:tc>
        <w:tc>
          <w:tcPr>
            <w:tcW w:w="1571"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63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110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4209"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产业协同创新</w:t>
            </w:r>
          </w:p>
        </w:tc>
        <w:tc>
          <w:tcPr>
            <w:tcW w:w="1571"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63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110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4209"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模式创新</w:t>
            </w:r>
          </w:p>
        </w:tc>
        <w:tc>
          <w:tcPr>
            <w:tcW w:w="1571"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633" w:type="dxa"/>
            <w:vMerge w:val="restart"/>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带动就业</w:t>
            </w:r>
          </w:p>
        </w:tc>
        <w:tc>
          <w:tcPr>
            <w:tcW w:w="1103" w:type="dxa"/>
            <w:vMerge w:val="restart"/>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加总得分</w:t>
            </w:r>
          </w:p>
        </w:tc>
        <w:tc>
          <w:tcPr>
            <w:tcW w:w="4209"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与当地经济发展紧密结合，促进区域社会经济转型升级</w:t>
            </w:r>
          </w:p>
        </w:tc>
        <w:tc>
          <w:tcPr>
            <w:tcW w:w="1571" w:type="dxa"/>
            <w:vMerge w:val="restart"/>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67" w:hRule="atLeast"/>
        </w:trPr>
        <w:tc>
          <w:tcPr>
            <w:tcW w:w="163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1103"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c>
          <w:tcPr>
            <w:tcW w:w="4209" w:type="dxa"/>
            <w:shd w:val="clear" w:color="auto" w:fill="FFFFFF"/>
            <w:tcMar>
              <w:left w:w="105" w:type="dxa"/>
              <w:right w:w="105" w:type="dxa"/>
            </w:tcMar>
            <w:vAlign w:val="center"/>
          </w:tcPr>
          <w:p>
            <w:pPr>
              <w:pStyle w:val="4"/>
              <w:keepNext w:val="0"/>
              <w:keepLines w:val="0"/>
              <w:widowControl/>
              <w:suppressLineNumbers w:val="0"/>
              <w:spacing w:before="0" w:beforeAutospacing="0" w:after="128" w:afterAutospacing="0" w:line="480" w:lineRule="atLeast"/>
              <w:ind w:left="0" w:right="0"/>
              <w:rPr>
                <w:rFonts w:hint="eastAsia" w:ascii="仿宋" w:hAnsi="仿宋" w:eastAsia="仿宋" w:cs="仿宋"/>
                <w:color w:val="auto"/>
                <w:sz w:val="28"/>
                <w:szCs w:val="28"/>
              </w:rPr>
            </w:pPr>
            <w:r>
              <w:rPr>
                <w:rFonts w:hint="eastAsia" w:ascii="仿宋" w:hAnsi="仿宋" w:eastAsia="仿宋" w:cs="仿宋"/>
                <w:b w:val="0"/>
                <w:i w:val="0"/>
                <w:caps w:val="0"/>
                <w:color w:val="auto"/>
                <w:spacing w:val="0"/>
                <w:sz w:val="28"/>
                <w:szCs w:val="28"/>
              </w:rPr>
              <w:t>带动就业人数</w:t>
            </w:r>
          </w:p>
        </w:tc>
        <w:tc>
          <w:tcPr>
            <w:tcW w:w="1571" w:type="dxa"/>
            <w:vMerge w:val="continue"/>
            <w:shd w:val="clear" w:color="auto" w:fill="FFFFFF"/>
            <w:tcMar>
              <w:left w:w="105" w:type="dxa"/>
              <w:right w:w="105" w:type="dxa"/>
            </w:tcMar>
            <w:vAlign w:val="center"/>
          </w:tcPr>
          <w:p>
            <w:pPr>
              <w:rPr>
                <w:rFonts w:hint="eastAsia" w:ascii="仿宋" w:hAnsi="仿宋" w:eastAsia="仿宋" w:cs="仿宋"/>
                <w:b w:val="0"/>
                <w:i w:val="0"/>
                <w:caps w:val="0"/>
                <w:color w:val="auto"/>
                <w:spacing w:val="0"/>
                <w:sz w:val="28"/>
                <w:szCs w:val="28"/>
              </w:rPr>
            </w:pPr>
          </w:p>
        </w:tc>
      </w:tr>
    </w:tbl>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Pr>
          <w:rFonts w:hint="eastAsia" w:ascii="仿宋" w:hAnsi="仿宋" w:eastAsia="仿宋" w:cs="仿宋"/>
          <w:color w:val="auto"/>
          <w:sz w:val="28"/>
          <w:szCs w:val="28"/>
        </w:rPr>
      </w:pPr>
      <w:r>
        <w:rPr>
          <w:rFonts w:hint="eastAsia" w:ascii="微软雅黑" w:hAnsi="微软雅黑" w:eastAsia="微软雅黑" w:cs="微软雅黑"/>
          <w:b w:val="0"/>
          <w:i w:val="0"/>
          <w:caps w:val="0"/>
          <w:color w:val="auto"/>
          <w:spacing w:val="0"/>
          <w:sz w:val="28"/>
          <w:szCs w:val="28"/>
          <w:shd w:val="clear" w:fill="FFFFFF"/>
        </w:rPr>
        <w:t>评分标准</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rightChars="0"/>
      </w:pPr>
      <w:r>
        <w:rPr>
          <w:rFonts w:hint="eastAsia" w:ascii="仿宋" w:hAnsi="仿宋" w:eastAsia="仿宋" w:cs="仿宋"/>
          <w:b w:val="0"/>
          <w:i w:val="0"/>
          <w:caps w:val="0"/>
          <w:color w:val="auto"/>
          <w:spacing w:val="0"/>
          <w:sz w:val="28"/>
          <w:szCs w:val="28"/>
          <w:shd w:val="clear" w:fill="FFFFFF"/>
        </w:rPr>
        <w:t>优秀：100-85分，良好：85-70分，一般：70-55分，差：55-0。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C0B1E"/>
    <w:multiLevelType w:val="singleLevel"/>
    <w:tmpl w:val="591C0B1E"/>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50D7B"/>
    <w:rsid w:val="39650D7B"/>
    <w:rsid w:val="45067251"/>
    <w:rsid w:val="4A385E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2017-05-18T04:58:00Z</dcterms:created>
  <dc:creator>联想</dc:creator>
  <cp:lastModifiedBy>冰冰</cp:lastModifiedBy>
  <dcterms:modified xsi:type="dcterms:W3CDTF">2018-05-18T13:43:28Z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